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7920"/>
        <w:spacing w:before="0" w:after="0" w:beforeAutospacing="0" w:afterAutospacing="0"/>
        <w:rPr>
          <w:rFonts w:cs="Times New Roman"/>
          <w:bCs/>
          <w:color w:val="000000"/>
          <w:szCs w:val="24"/>
          <w:lang w:val="ru-ru"/>
        </w:rPr>
      </w:pPr>
      <w:r>
        <w:rPr>
          <w:rFonts w:cs="Times New Roman"/>
          <w:bCs/>
          <w:color w:val="000000"/>
          <w:szCs w:val="24"/>
          <w:lang w:val="ru-ru"/>
        </w:rPr>
        <w:t>Приложение 1</w:t>
      </w:r>
    </w:p>
    <w:p>
      <w:pPr>
        <w:ind w:left="7920"/>
        <w:spacing w:before="0" w:after="0" w:beforeAutospacing="0" w:afterAutospacing="0"/>
        <w:rPr>
          <w:rFonts w:cs="Times New Roman"/>
          <w:bCs/>
          <w:color w:val="000000"/>
          <w:szCs w:val="24"/>
          <w:lang w:val="ru-ru"/>
        </w:rPr>
      </w:pPr>
      <w:r>
        <w:rPr>
          <w:rFonts w:cs="Times New Roman"/>
          <w:bCs/>
          <w:color w:val="000000"/>
          <w:szCs w:val="24"/>
          <w:lang w:val="ru-ru"/>
        </w:rPr>
        <w:t xml:space="preserve"> к приказу директора </w:t>
      </w:r>
    </w:p>
    <w:p>
      <w:pPr>
        <w:ind w:left="7920"/>
        <w:spacing w:before="0" w:after="0" w:beforeAutospacing="0" w:afterAutospacing="0"/>
        <w:rPr>
          <w:rFonts w:cs="Times New Roman"/>
          <w:bCs/>
          <w:color w:val="000000"/>
          <w:szCs w:val="24"/>
          <w:lang w:val="ru-ru"/>
        </w:rPr>
      </w:pPr>
      <w:r>
        <w:rPr>
          <w:rFonts w:cs="Times New Roman"/>
          <w:bCs/>
          <w:color w:val="000000"/>
          <w:szCs w:val="24"/>
          <w:lang w:val="ru-ru"/>
        </w:rPr>
        <w:t>МБОУ «Крутоярская СОШ»</w:t>
      </w:r>
    </w:p>
    <w:p>
      <w:pPr>
        <w:ind w:left="7920"/>
        <w:spacing w:before="0" w:after="0" w:beforeAutospacing="0" w:afterAutospacing="0"/>
        <w:rPr>
          <w:rFonts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Cs w:val="24"/>
          <w:lang w:val="ru-ru"/>
        </w:rPr>
        <w:t>От 17.06.2024г №32</w:t>
      </w:r>
      <w:r>
        <w:rPr>
          <w:rFonts w:cs="Times New Roman"/>
          <w:bCs/>
          <w:color w:val="000000"/>
          <w:sz w:val="24"/>
          <w:szCs w:val="24"/>
          <w:lang w:val="ru-ru"/>
        </w:rPr>
      </w:r>
    </w:p>
    <w:p>
      <w:pPr>
        <w:spacing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sz w:val="24"/>
          <w:szCs w:val="24"/>
          <w:lang w:val="ru-ru"/>
        </w:rPr>
        <w:br w:type="textWrapping"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о системе оценивания образовательных достижений обучающихся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before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>
      <w:pPr>
        <w: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муниципальном бюджетном</w:t>
      </w:r>
      <w:r>
        <w:rPr>
          <w:rFonts w:cs="Times New Roman"/>
          <w:color w:val="000000"/>
          <w:sz w:val="24"/>
          <w:szCs w:val="24"/>
          <w:lang w:val="ru-ru"/>
        </w:rPr>
        <w:t xml:space="preserve"> общеобразовательно</w:t>
      </w:r>
      <w:r>
        <w:rPr>
          <w:rFonts w:cs="Times New Roman"/>
          <w:color w:val="000000"/>
          <w:sz w:val="24"/>
          <w:szCs w:val="24"/>
          <w:lang w:val="ru-ru"/>
        </w:rPr>
        <w:t>м</w:t>
      </w:r>
      <w:r>
        <w:rPr>
          <w:rFonts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  </w:t>
      </w:r>
      <w:r>
        <w:rPr>
          <w:rFonts w:cs="Times New Roman"/>
          <w:color w:val="000000"/>
          <w:sz w:val="24"/>
          <w:szCs w:val="24"/>
          <w:lang w:val="ru-ru"/>
        </w:rPr>
        <w:t>«Крутоярская средняя общеобразовательная школа»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(далее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Школа</w:t>
      </w:r>
      <w:r>
        <w:rPr>
          <w:rFonts w:cs="Times New Roman"/>
          <w:color w:val="000000"/>
          <w:sz w:val="24"/>
          <w:szCs w:val="24"/>
          <w:lang w:val="ru-ru"/>
        </w:rPr>
        <w:t>/ МБОУ «Крутоярская СОШ»</w:t>
      </w:r>
      <w:r>
        <w:rPr>
          <w:rFonts w:cs="Times New Roman"/>
          <w:color w:val="000000"/>
          <w:sz w:val="24"/>
          <w:szCs w:val="24"/>
          <w:lang w:val="ru-ru"/>
        </w:rPr>
        <w:t>).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1.2. Положение разработано на основании: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Минпросвещения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 18.05.2023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№ 372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>
      <w:pPr>
        <w:numPr>
          <w:ilvl w:val="0"/>
          <w:numId w:val="1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письма Минпросвещения от 13.01.2023 № 03-49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«О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направлении методических рекомендаций»;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1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устава Школы.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r>
        <w:rPr>
          <w:rFonts w:cs="Times New Roman"/>
          <w:color w:val="000000"/>
          <w:sz w:val="24"/>
          <w:szCs w:val="24"/>
        </w:rPr>
        <w:t>Ее основными функциями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являются</w:t>
      </w:r>
      <w:r>
        <w:rPr>
          <w:rFonts w:cs="Times New Roman"/>
          <w:color w:val="000000"/>
          <w:sz w:val="24"/>
          <w:szCs w:val="24"/>
        </w:rPr>
        <w:t>: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21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>
      <w:pPr>
        <w:numPr>
          <w:ilvl w:val="0"/>
          <w:numId w:val="21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1.5.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41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>
      <w:pPr>
        <w:numPr>
          <w:ilvl w:val="0"/>
          <w:numId w:val="41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>
      <w:pPr>
        <w:numPr>
          <w:ilvl w:val="0"/>
          <w:numId w:val="41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>
      <w:pPr>
        <w:numPr>
          <w:ilvl w:val="0"/>
          <w:numId w:val="2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>
      <w:pPr>
        <w:numPr>
          <w:ilvl w:val="0"/>
          <w:numId w:val="2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>
      <w:pPr>
        <w:numPr>
          <w:ilvl w:val="0"/>
          <w:numId w:val="2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>
      <w:pPr>
        <w:numPr>
          <w:ilvl w:val="0"/>
          <w:numId w:val="25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>
      <w:pPr>
        <w:numPr>
          <w:ilvl w:val="0"/>
          <w:numId w:val="3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>
      <w:pPr>
        <w:numPr>
          <w:ilvl w:val="0"/>
          <w:numId w:val="3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>
      <w:pPr>
        <w:numPr>
          <w:ilvl w:val="0"/>
          <w:numId w:val="3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3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>
      <w:pPr>
        <w:numPr>
          <w:ilvl w:val="0"/>
          <w:numId w:val="37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>
      <w:pPr>
        <w:numPr>
          <w:ilvl w:val="0"/>
          <w:numId w:val="1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>
      <w:pPr>
        <w:numPr>
          <w:ilvl w:val="0"/>
          <w:numId w:val="1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>
      <w:pPr>
        <w:numPr>
          <w:ilvl w:val="0"/>
          <w:numId w:val="1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открытость, прозрачность процедур </w:t>
      </w:r>
      <w:r>
        <w:rPr>
          <w:rFonts w:cs="Times New Roman"/>
          <w:color w:val="000000"/>
          <w:sz w:val="24"/>
          <w:szCs w:val="24"/>
        </w:rPr>
        <w:t>оценивания</w:t>
      </w:r>
      <w:r>
        <w:rPr>
          <w:rFonts w:cs="Times New Roman"/>
          <w:color w:val="000000"/>
          <w:sz w:val="24"/>
          <w:szCs w:val="24"/>
        </w:rPr>
        <w:t>;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1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прогностичность полученных данных, позволяющих прогнозировать ожидаемые результаты;</w:t>
      </w:r>
    </w:p>
    <w:p>
      <w:pPr>
        <w:numPr>
          <w:ilvl w:val="0"/>
          <w:numId w:val="1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>
      <w:pPr>
        <w:numPr>
          <w:ilvl w:val="0"/>
          <w:numId w:val="19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основой для организации индивидуальной работы с </w:t>
      </w:r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cs="Times New Roman"/>
          <w:color w:val="000000"/>
          <w:sz w:val="24"/>
          <w:szCs w:val="24"/>
          <w:lang w:val="ru-ru"/>
        </w:rPr>
        <w:t>. Он реализуется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cs="Times New Roman"/>
          <w:color w:val="000000"/>
          <w:sz w:val="24"/>
          <w:szCs w:val="24"/>
          <w:lang w:val="ru-ru"/>
        </w:rPr>
        <w:t>отношению</w:t>
      </w:r>
      <w:r>
        <w:rPr>
          <w:rFonts w:cs="Times New Roman"/>
          <w:color w:val="000000"/>
          <w:sz w:val="24"/>
          <w:szCs w:val="24"/>
          <w:lang w:val="ru-ru"/>
        </w:rPr>
        <w:t xml:space="preserve"> как к содержанию оценки, так и к представлению и интерпретации результатов измерений.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1.12. Комплексный подход к оценке образовательных достижений реализуется через:</w:t>
      </w:r>
    </w:p>
    <w:p>
      <w:pPr>
        <w:numPr>
          <w:ilvl w:val="0"/>
          <w:numId w:val="3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оценку предметных и метапредметных результатов;</w:t>
      </w:r>
    </w:p>
    <w:p>
      <w:pPr>
        <w:numPr>
          <w:ilvl w:val="0"/>
          <w:numId w:val="3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>
      <w:pPr>
        <w:numPr>
          <w:ilvl w:val="0"/>
          <w:numId w:val="3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>
      <w:pPr>
        <w:numPr>
          <w:ilvl w:val="0"/>
          <w:numId w:val="3"/>
        </w:numPr>
        <w:ind w:left="780" w:right="180" w:hanging="360"/>
        <w:spacing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>
      <w:pPr>
        <w:numPr>
          <w:ilvl w:val="0"/>
          <w:numId w:val="3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1.14. Внутреннее (внутришкольное) оценивание предназначается для организации процесса обучения в классе по учебным предметам. </w:t>
      </w:r>
      <w:r>
        <w:rPr>
          <w:rFonts w:cs="Times New Roman"/>
          <w:color w:val="000000"/>
          <w:sz w:val="24"/>
          <w:szCs w:val="24"/>
        </w:rPr>
        <w:t>Внутреннее (внутришкольное) оценивание включает: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1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стартовую диагностика,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направленную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1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>
      <w:pPr>
        <w:numPr>
          <w:ilvl w:val="0"/>
          <w:numId w:val="1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тематическую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ее изучения;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1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>
      <w:pPr>
        <w:numPr>
          <w:ilvl w:val="0"/>
          <w:numId w:val="1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итоговую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оценку,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складываемую из результатов накопленной оценки и итоговой работы по предмету. Предмет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r>
        <w:rPr>
          <w:rFonts w:cs="Times New Roman"/>
          <w:color w:val="000000"/>
          <w:sz w:val="24"/>
          <w:szCs w:val="24"/>
          <w:lang w:val="ru-ru"/>
        </w:rPr>
        <w:t xml:space="preserve"> действий;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17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психолого-педагогическое наблюдение, представляющее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контролировать и оценивать развитие личности обучающегося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под влиянием учебных занятий, внеклассных мероприятий, взаимодействия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другими обучающимися, учителями, родителями, выполнения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поручений и участия в разных видах деятельности.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>
      <w:pPr>
        <w:numPr>
          <w:ilvl w:val="0"/>
          <w:numId w:val="1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итоговая аттестация;</w:t>
      </w:r>
    </w:p>
    <w:p>
      <w:pPr>
        <w:numPr>
          <w:ilvl w:val="0"/>
          <w:numId w:val="18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независимая оценка качества подготовки обучающихся.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1.16. В целях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r>
        <w:rPr>
          <w:rFonts w:cs="Times New Roman"/>
          <w:color w:val="000000"/>
          <w:sz w:val="24"/>
          <w:szCs w:val="24"/>
          <w:lang w:val="ru-ru"/>
        </w:rPr>
        <w:t>критериальное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оценивание.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Критериальное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отношений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критериями, соответствующими целям и содержанию образования, отражающими предметные и </w:t>
      </w:r>
      <w:r>
        <w:rPr>
          <w:rFonts w:cs="Times New Roman"/>
          <w:color w:val="000000"/>
          <w:sz w:val="24"/>
          <w:szCs w:val="24"/>
          <w:lang w:val="ru-ru"/>
        </w:rPr>
        <w:t>метапредметные</w:t>
      </w:r>
      <w:r>
        <w:rPr>
          <w:rFonts w:cs="Times New Roman"/>
          <w:color w:val="000000"/>
          <w:sz w:val="24"/>
          <w:szCs w:val="24"/>
          <w:lang w:val="ru-ru"/>
        </w:rPr>
        <w:t xml:space="preserve"> умения обучающихся. В ходе </w:t>
      </w:r>
      <w:r>
        <w:rPr>
          <w:rFonts w:cs="Times New Roman"/>
          <w:color w:val="000000"/>
          <w:sz w:val="24"/>
          <w:szCs w:val="24"/>
          <w:lang w:val="ru-ru"/>
        </w:rPr>
        <w:t>критериального</w:t>
      </w:r>
      <w:r>
        <w:rPr>
          <w:rFonts w:cs="Times New Roman"/>
          <w:color w:val="000000"/>
          <w:sz w:val="24"/>
          <w:szCs w:val="24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1.17. Успешность освоения программы первоклассниками характеризуется качественной оценкой в конце учебного года.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«5» – глубокое понимание программного материала, безошибочный ответ, решение.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«4» – правильное усвоение программного материала, отдельные незначительные неточности и ошибки.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«3» – усвоение основных положений программного материала без способности оперировать ими на конструктивном уровне.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«2» – плохое, поверхностное усвоение программного материала/ полное отсутствие каких-либо знаний учебного материала.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r>
        <w:rPr>
          <w:rFonts w:cs="Times New Roman"/>
          <w:color w:val="000000"/>
          <w:sz w:val="24"/>
          <w:szCs w:val="24"/>
        </w:rPr>
        <w:t>Перевод отметки в пятибальную шкалу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осуществляется</w:t>
      </w:r>
      <w:r>
        <w:rPr>
          <w:rFonts w:cs="Times New Roman"/>
          <w:color w:val="000000"/>
          <w:sz w:val="24"/>
          <w:szCs w:val="24"/>
        </w:rPr>
        <w:t xml:space="preserve"> по </w:t>
      </w:r>
      <w:r>
        <w:rPr>
          <w:rFonts w:cs="Times New Roman"/>
          <w:color w:val="000000"/>
          <w:sz w:val="24"/>
          <w:szCs w:val="24"/>
        </w:rPr>
        <w:t>следующей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схеме</w:t>
      </w:r>
      <w:r>
        <w:rPr>
          <w:rFonts w:cs="Times New Roman"/>
          <w:color w:val="000000"/>
          <w:sz w:val="24"/>
          <w:szCs w:val="24"/>
          <w:lang w:val="ru-ru"/>
        </w:rPr>
        <w:t>:</w:t>
      </w:r>
      <w:r>
        <w:rPr>
          <w:rFonts w:cs="Times New Roman"/>
          <w:color w:val="000000"/>
          <w:sz w:val="24"/>
          <w:szCs w:val="24"/>
          <w:lang w:val="ru-ru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10512" w:type="dxa"/>
        <w:tblLook w:val="0600" w:firstRow="0" w:lastRow="0" w:firstColumn="0" w:lastColumn="0" w:noHBand="1" w:noVBand="1"/>
      </w:tblPr>
      <w:tblGrid>
        <w:gridCol w:w="3937"/>
        <w:gridCol w:w="2710"/>
        <w:gridCol w:w="3865"/>
      </w:tblGrid>
      <w:tr>
        <w:trPr>
          <w:tblHeader w:val="0"/>
          <w:cantSplit w:val="0"/>
          <w:trHeight w:val="564" w:hRule="atLeast"/>
        </w:trPr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3865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90%-100%</w:t>
            </w:r>
          </w:p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Высокий </w:t>
            </w:r>
          </w:p>
        </w:tc>
        <w:tc>
          <w:tcPr>
            <w:tcW w:w="3865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«5»</w:t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70%-89%</w:t>
            </w:r>
          </w:p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3865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«4»</w:t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51%-69%</w:t>
            </w:r>
          </w:p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Ниже среднего</w:t>
            </w:r>
          </w:p>
        </w:tc>
        <w:tc>
          <w:tcPr>
            <w:tcW w:w="3865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«3»</w:t>
            </w:r>
          </w:p>
        </w:tc>
      </w:tr>
      <w:tr>
        <w:trPr>
          <w:tblHeader w:val="0"/>
          <w:cantSplit w:val="0"/>
          <w:trHeight w:val="281" w:hRule="atLeast"/>
        </w:trPr>
        <w:tc>
          <w:tcPr>
            <w:tcW w:w="3937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50% и ниже</w:t>
            </w:r>
          </w:p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Низкий </w:t>
            </w:r>
          </w:p>
        </w:tc>
        <w:tc>
          <w:tcPr>
            <w:tcW w:w="3865" w:type="dxa"/>
            <w:tcMar>
              <w:top w:w="75" w:type="dxa"/>
              <w:left w:w="75" w:type="dxa"/>
              <w:bottom w:w="75" w:type="dxa"/>
              <w:right w:w="75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</w:tcBorders>
            <w:tmTcPr id="1724727605" protected="0"/>
          </w:tcPr>
          <w:p>
            <w:pPr>
              <w:spacing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«2»</w:t>
            </w:r>
          </w:p>
        </w:tc>
      </w:tr>
    </w:tbl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1.18. Средствами фиксации личностных, метапредметных и предметных результатов являются классные журналы, ИОП, портфолио,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карты</w:t>
      </w:r>
      <w:r>
        <w:rPr>
          <w:rFonts w:cs="Times New Roman"/>
          <w:color w:val="000000"/>
          <w:sz w:val="24"/>
          <w:szCs w:val="24"/>
          <w:lang w:val="ru-ru"/>
        </w:rPr>
        <w:t xml:space="preserve"> достижений/отслеживания</w:t>
      </w:r>
      <w:r>
        <w:rPr>
          <w:rFonts w:cs="Times New Roman"/>
          <w:color w:val="000000"/>
          <w:sz w:val="24"/>
          <w:szCs w:val="24"/>
          <w:lang w:val="ru-ru"/>
        </w:rPr>
        <w:t>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1.19. Технология оценивания определяется в данном Положении на каждом уровне обучения.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2. Система оценивания на уровне начального общего образования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2.1. Система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>
      <w:pPr>
        <w:numPr>
          <w:ilvl w:val="0"/>
          <w:numId w:val="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>
      <w:pPr>
        <w:numPr>
          <w:ilvl w:val="0"/>
          <w:numId w:val="9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2.1.3.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3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>
      <w:pPr>
        <w:numPr>
          <w:ilvl w:val="0"/>
          <w:numId w:val="3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>
      <w:pPr>
        <w:numPr>
          <w:ilvl w:val="0"/>
          <w:numId w:val="38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2.1.4. Оценка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личностных достижений обучающихся проводится по результатам психолого-педагогического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наблюдения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внутренних </w:t>
      </w:r>
      <w:r>
        <w:rPr>
          <w:rFonts w:cs="Times New Roman"/>
          <w:color w:val="000000"/>
          <w:sz w:val="24"/>
          <w:szCs w:val="24"/>
          <w:lang w:val="ru-ru"/>
        </w:rPr>
        <w:t>неперсонифицированных</w:t>
      </w:r>
      <w:r>
        <w:rPr>
          <w:rFonts w:cs="Times New Roman"/>
          <w:color w:val="000000"/>
          <w:sz w:val="24"/>
          <w:szCs w:val="24"/>
          <w:lang w:val="ru-ru"/>
        </w:rPr>
        <w:t xml:space="preserve"> мониторинговых исследований.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2.2. Система оценивания метапредметных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>
      <w:pPr>
        <w:numPr>
          <w:ilvl w:val="0"/>
          <w:numId w:val="2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познавательных универсальных учебных действий;</w:t>
      </w:r>
    </w:p>
    <w:p>
      <w:pPr>
        <w:numPr>
          <w:ilvl w:val="0"/>
          <w:numId w:val="2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коммуникативных универсальных учебных действий;</w:t>
      </w:r>
    </w:p>
    <w:p>
      <w:pPr>
        <w:numPr>
          <w:ilvl w:val="0"/>
          <w:numId w:val="27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регулятивных универсальных учебных действий.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>
      <w:pPr>
        <w:numPr>
          <w:ilvl w:val="0"/>
          <w:numId w:val="3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3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>
      <w:pPr>
        <w:numPr>
          <w:ilvl w:val="0"/>
          <w:numId w:val="3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3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3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32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>
      <w:pPr>
        <w:numPr>
          <w:ilvl w:val="0"/>
          <w:numId w:val="2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2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2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2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2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23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>
      <w:pPr>
        <w:numPr>
          <w:ilvl w:val="0"/>
          <w:numId w:val="1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выбирать источник получения информации;</w:t>
      </w:r>
    </w:p>
    <w:p>
      <w:pPr>
        <w:numPr>
          <w:ilvl w:val="0"/>
          <w:numId w:val="1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>
      <w:pPr>
        <w:numPr>
          <w:ilvl w:val="0"/>
          <w:numId w:val="1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>
      <w:pPr>
        <w:numPr>
          <w:ilvl w:val="0"/>
          <w:numId w:val="1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готовить небольшие публичные выступления;</w:t>
      </w:r>
    </w:p>
    <w:p>
      <w:pPr>
        <w:numPr>
          <w:ilvl w:val="0"/>
          <w:numId w:val="2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>
      <w:pPr>
        <w:numPr>
          <w:ilvl w:val="0"/>
          <w:numId w:val="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numPr>
          <w:ilvl w:val="0"/>
          <w:numId w:val="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>
      <w:pPr>
        <w:numPr>
          <w:ilvl w:val="0"/>
          <w:numId w:val="7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>
      <w:pPr>
        <w:numPr>
          <w:ilvl w:val="0"/>
          <w:numId w:val="7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2.3. Система оценивания предметных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2.3.1.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2.3.6. Обобщенный критерий «применение» включает:</w:t>
      </w:r>
    </w:p>
    <w:p>
      <w:pPr>
        <w:numPr>
          <w:ilvl w:val="0"/>
          <w:numId w:val="2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>
      <w:pPr>
        <w:numPr>
          <w:ilvl w:val="0"/>
          <w:numId w:val="22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>
      <w:pPr>
        <w:numPr>
          <w:ilvl w:val="0"/>
          <w:numId w:val="2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>
      <w:pPr>
        <w:numPr>
          <w:ilvl w:val="0"/>
          <w:numId w:val="2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аттестацию;</w:t>
      </w:r>
    </w:p>
    <w:p>
      <w:pPr>
        <w:numPr>
          <w:ilvl w:val="0"/>
          <w:numId w:val="28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график контрольных мероприятий.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2.4. Процедуры оценивания на уровне НОО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безотметочного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2.4.6.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</w:t>
      </w:r>
      <w:r>
        <w:rPr>
          <w:rFonts w:cs="Times New Roman"/>
          <w:color w:val="000000"/>
          <w:sz w:val="24"/>
          <w:szCs w:val="24"/>
          <w:lang w:val="ru-ru"/>
        </w:rPr>
        <w:t>этапы</w:t>
      </w:r>
      <w:r>
        <w:rPr>
          <w:rFonts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2.4.9.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Тематическая оценка направлена на оценку уровня достижения </w:t>
      </w:r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cs="Times New Roman"/>
          <w:color w:val="000000"/>
          <w:sz w:val="24"/>
          <w:szCs w:val="24"/>
          <w:lang w:val="ru-ru"/>
        </w:rPr>
        <w:t xml:space="preserve"> тематических планируемых результатов по учебному предмету.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2.4.10. Промежуточная аттестация обучающихся проводится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3. Система оценивания на уровне основного общего образования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3.1. Система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оценивания личностных результатов</w:t>
      </w:r>
      <w:r>
        <w:rPr>
          <w:b/>
          <w:bCs/>
          <w:color w:val="252525"/>
          <w:spacing w:val="-2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ответственности за результаты обучения; способности делать осознанный выбор своей образовательной траектории, в том числе выбор профессии;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ценностно-смысловых установках обучающихся, формируемых средствами учебных предметов.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3.2. Система оценивания метапредметных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>
      <w:pPr>
        <w:numPr>
          <w:ilvl w:val="0"/>
          <w:numId w:val="3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>
      <w:pPr>
        <w:numPr>
          <w:ilvl w:val="0"/>
          <w:numId w:val="3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>
      <w:pPr>
        <w:numPr>
          <w:ilvl w:val="0"/>
          <w:numId w:val="3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>
      <w:pPr>
        <w:numPr>
          <w:ilvl w:val="0"/>
          <w:numId w:val="35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Школы.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3.2.5. Формы оценки: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проверки функциональной грамотности могут использоваться следующие диагностические работы: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– письменная работа на межпредметной основе;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– практическая работа в сочетании с письменной (компьютеризованной) частью;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– экспертная оценка процесса и результатов выполнения групповых и (или) индивидуальных учебных исследований и проектов;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 диагностическая работа  на образовательной платформе, рекомендованной Минпросвещением (РЭШ, Учи.Ру</w:t>
      </w:r>
      <w:r>
        <w:rPr>
          <w:rFonts w:cs="Times New Roman"/>
          <w:color w:val="000000"/>
          <w:sz w:val="24"/>
          <w:szCs w:val="24"/>
          <w:lang w:val="ru-ru"/>
        </w:rPr>
        <w:t>, МЭО…)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Диагностическая  работа проводится с периодичностью не менее чем один раз в год.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Целью группового и (или) индивидуального учебного исследования и проекта  является  демонстрация своих достижени</w:t>
      </w:r>
      <w:r>
        <w:rPr>
          <w:rFonts w:cs="Times New Roman"/>
          <w:color w:val="000000"/>
          <w:sz w:val="24"/>
          <w:szCs w:val="24"/>
          <w:lang w:val="ru-ru"/>
        </w:rPr>
        <w:t>й</w:t>
      </w:r>
      <w:r>
        <w:rPr>
          <w:rFonts w:cs="Times New Roman"/>
          <w:color w:val="000000"/>
          <w:sz w:val="24"/>
          <w:szCs w:val="24"/>
          <w:lang w:val="ru-ru"/>
        </w:rPr>
        <w:t xml:space="preserve"> в самостоятельном освоении содержания избранных областей знаний и (или) видов деятельности и способност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3.2.7. Выбор темы проекта осуществляется обучающимися.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>
      <w:pPr>
        <w:numPr>
          <w:ilvl w:val="0"/>
          <w:numId w:val="4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Макет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4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Презентация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4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Доклад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Газета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Журнал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Сценарий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Маршрут экскурсии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Статья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Буклет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Видеофильм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Серия иллюстраций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Путеводитель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Атлас, справочник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Сайт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Проект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2c2d2e"/>
          <w:szCs w:val="23"/>
          <w:lang w:val="ru-ru"/>
        </w:rPr>
      </w:pPr>
      <w:r>
        <w:rPr>
          <w:rFonts w:cs="Times New Roman"/>
          <w:color w:val="2c2d2e"/>
          <w:sz w:val="24"/>
          <w:szCs w:val="28"/>
          <w:lang w:val="ru-ru"/>
        </w:rPr>
        <w:t>Научно-исследовательская работа и другие.</w:t>
      </w:r>
      <w:r>
        <w:rPr>
          <w:rFonts w:ascii="Arial" w:hAnsi="Arial" w:cs="Arial"/>
          <w:color w:val="2c2d2e"/>
          <w:szCs w:val="23"/>
          <w:lang w:val="ru-ru"/>
        </w:rPr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ind w:right="18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3.2.9. Требования к организации проектной деятельности, к содержанию и направленности проекта регламентируются  положением Школы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>
      <w:pPr>
        <w:numPr>
          <w:ilvl w:val="0"/>
          <w:numId w:val="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умении </w:t>
      </w:r>
      <w:r>
        <w:rPr>
          <w:rFonts w:cs="Times New Roman"/>
          <w:color w:val="000000"/>
          <w:sz w:val="24"/>
          <w:szCs w:val="24"/>
          <w:lang w:val="ru-ru"/>
        </w:rPr>
        <w:t>поставить проблему</w:t>
      </w:r>
      <w:r>
        <w:rPr>
          <w:rFonts w:cs="Times New Roman"/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>
      <w:pPr>
        <w:numPr>
          <w:ilvl w:val="0"/>
          <w:numId w:val="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>
      <w:pPr>
        <w:numPr>
          <w:ilvl w:val="0"/>
          <w:numId w:val="6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3.3. Система оценивания предметных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3.3.4.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3.3.5.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3.3.6. Особенности оценки по отдельному учебному предмету фиксируются в приложении к ООП ООО.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3.3.7. Описание оценки предметных результатов по отдельному учебному предмету включает:</w:t>
      </w:r>
    </w:p>
    <w:p>
      <w:pPr>
        <w:numPr>
          <w:ilvl w:val="0"/>
          <w:numId w:val="2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>
      <w:pPr>
        <w:numPr>
          <w:ilvl w:val="0"/>
          <w:numId w:val="2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>
      <w:pPr>
        <w:numPr>
          <w:ilvl w:val="0"/>
          <w:numId w:val="20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график контрольных мероприятий.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3.4. Процедуры оценивания на уровне ООО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3.4.3.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Объектом оценки являются: структура мотивации, </w:t>
      </w:r>
      <w:r>
        <w:rPr>
          <w:rFonts w:cs="Times New Roman"/>
          <w:color w:val="000000"/>
          <w:sz w:val="24"/>
          <w:szCs w:val="24"/>
          <w:lang w:val="ru-ru"/>
        </w:rPr>
        <w:t>сформированность</w:t>
      </w:r>
      <w:r>
        <w:rPr>
          <w:rFonts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3.4.5.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>
      <w:pPr>
        <w:numPr>
          <w:ilvl w:val="0"/>
          <w:numId w:val="1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стартовая диагностика;</w:t>
      </w:r>
    </w:p>
    <w:p>
      <w:pPr>
        <w:numPr>
          <w:ilvl w:val="0"/>
          <w:numId w:val="1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>
      <w:pPr>
        <w:numPr>
          <w:ilvl w:val="0"/>
          <w:numId w:val="1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уровня функциональной грамотности;</w:t>
      </w:r>
    </w:p>
    <w:p>
      <w:pPr>
        <w:numPr>
          <w:ilvl w:val="0"/>
          <w:numId w:val="16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3.4.13. Процедура  прохождения промежуточной аттестации регламентируется положением школы. В 9-х классах в конце учебного года по ряду предметов проводится промежуточная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аттестация в форме </w:t>
      </w:r>
      <w:r>
        <w:rPr>
          <w:rFonts w:cs="Times New Roman"/>
          <w:color w:val="000000"/>
          <w:sz w:val="24"/>
          <w:szCs w:val="24"/>
          <w:lang w:val="ru-ru"/>
        </w:rPr>
        <w:t>ГИА</w:t>
      </w:r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3.4.14. Годовая отметка по учебному предмету выставляется учителем на основе четвертных отметок и промежуточной аттестацией.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Итоговая оценка (по экзаменационным предметам) выставляется в 9-х классах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3.4.15. Итоговая аттестация выпускников осуществляется на основе внешней оценки в форме ГИА-9.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4. Система оценивания на уровне среднего общего образования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4.1. Система оценивания личностных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ответственности за результаты обучения;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4.2. Система оценивания метаапредметных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4.2.3. Основные объекты оценки метапредметных результатов:</w:t>
      </w:r>
    </w:p>
    <w:p>
      <w:pPr>
        <w:numPr>
          <w:ilvl w:val="0"/>
          <w:numId w:val="3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>
      <w:pPr>
        <w:numPr>
          <w:ilvl w:val="0"/>
          <w:numId w:val="3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>
      <w:pPr>
        <w:numPr>
          <w:ilvl w:val="0"/>
          <w:numId w:val="36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4.2.5. Формы оценки: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проверки функциональной грамотности могут использоваться следующие диагностические работы: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– письменная работа на межпредметной основе;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– практическая работа в сочетании с письменной (компьютеризованной) частью;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– экспертная оценка процесса и результатов выполнения групповых и (или) индивидуальных учебных исследований и проектов;</w:t>
      </w:r>
    </w:p>
    <w:p>
      <w:pPr>
        <w:ind w:left="780" w:right="18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 диагностическая работа  на образовательной платформе, рекомендованной Минпросвещением (РЭШ, Учи.Ру</w:t>
      </w:r>
      <w:r>
        <w:rPr>
          <w:rFonts w:cs="Times New Roman"/>
          <w:color w:val="000000"/>
          <w:sz w:val="24"/>
          <w:szCs w:val="24"/>
          <w:lang w:val="ru-ru"/>
        </w:rPr>
        <w:t>, МЭО…)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Диагностическая  работа проводится с периодичностью не менее чем один раз в год.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4.2.6. Групповые и (или) индивидуальные учебные исследования и проекты выполняются обучающимся в рамках одного из учебных предметов или на межпредметной основе. Для демонстрации своих</w:t>
      </w:r>
      <w:r>
        <w:rPr>
          <w:rFonts w:cs="Times New Roman"/>
          <w:color w:val="000000"/>
          <w:sz w:val="24"/>
          <w:szCs w:val="24"/>
          <w:lang w:val="ru-ru"/>
        </w:rPr>
        <w:t xml:space="preserve"> достижени</w:t>
      </w:r>
      <w:r>
        <w:rPr>
          <w:rFonts w:cs="Times New Roman"/>
          <w:color w:val="000000"/>
          <w:sz w:val="24"/>
          <w:szCs w:val="24"/>
          <w:lang w:val="ru-ru"/>
        </w:rPr>
        <w:t>й</w:t>
      </w:r>
      <w:r>
        <w:rPr>
          <w:rFonts w:cs="Times New Roman"/>
          <w:color w:val="000000"/>
          <w:sz w:val="24"/>
          <w:szCs w:val="24"/>
          <w:lang w:val="ru-ru"/>
        </w:rPr>
        <w:t xml:space="preserve"> в самостоятельном освоении содержания избранных областей знаний и (или) видов деятельности и способност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4.2.7. Выбор темы проекта осуществляется обучающимися.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>
      <w:pPr>
        <w:numPr>
          <w:ilvl w:val="0"/>
          <w:numId w:val="4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Макет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4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Презентация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4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Доклад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Газета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Журнал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Сценарий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Маршрут экскурсии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Статья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Буклет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Видеофильм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Серия иллюстраций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Путеводитель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Атлас, справочник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Сайт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Проект</w:t>
      </w:r>
      <w:r>
        <w:rPr>
          <w:rFonts w:ascii="Arial" w:hAnsi="Arial" w:cs="Arial"/>
          <w:color w:val="000000"/>
          <w:szCs w:val="23"/>
          <w:lang w:val="ru-ru"/>
        </w:rPr>
      </w:r>
    </w:p>
    <w:p>
      <w:pPr>
        <w:numPr>
          <w:ilvl w:val="0"/>
          <w:numId w:val="42"/>
        </w:numPr>
        <w:ind w:left="720" w:hanging="360"/>
        <w:spacing w:before="0" w:after="0" w:beforeAutospacing="0" w:after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3"/>
          <w:szCs w:val="23"/>
          <w:lang w:val="ru-ru"/>
        </w:rPr>
      </w:pPr>
      <w:r>
        <w:rPr>
          <w:rFonts w:cs="Times New Roman"/>
          <w:color w:val="000000"/>
          <w:sz w:val="24"/>
          <w:szCs w:val="28"/>
          <w:lang w:val="ru-ru"/>
        </w:rPr>
        <w:t>Научно-исследовательская работа.</w:t>
      </w:r>
      <w:r>
        <w:rPr>
          <w:rFonts w:ascii="Arial" w:hAnsi="Arial" w:cs="Arial"/>
          <w:color w:val="000000"/>
          <w:sz w:val="23"/>
          <w:szCs w:val="23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отражены в положении о проектной и исследовательской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>
      <w:pPr>
        <w:numPr>
          <w:ilvl w:val="0"/>
          <w:numId w:val="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>
      <w:pPr>
        <w:numPr>
          <w:ilvl w:val="0"/>
          <w:numId w:val="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>
      <w:pPr>
        <w:numPr>
          <w:ilvl w:val="0"/>
          <w:numId w:val="8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>
      <w:pPr>
        <w:numPr>
          <w:ilvl w:val="0"/>
          <w:numId w:val="8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4.3. Система оценивания предметных результатов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4.3.6. Обобщенный критерий «применение» включает:</w:t>
      </w:r>
    </w:p>
    <w:p>
      <w:pPr>
        <w:numPr>
          <w:ilvl w:val="0"/>
          <w:numId w:val="39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>
      <w:pPr>
        <w:numPr>
          <w:ilvl w:val="0"/>
          <w:numId w:val="39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включает:</w:t>
      </w:r>
    </w:p>
    <w:p>
      <w:pPr>
        <w:numPr>
          <w:ilvl w:val="0"/>
          <w:numId w:val="4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>
      <w:pPr>
        <w:numPr>
          <w:ilvl w:val="0"/>
          <w:numId w:val="4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>
      <w:pPr>
        <w:numPr>
          <w:ilvl w:val="0"/>
          <w:numId w:val="40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график контрольных мероприятий.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4.4. Процедуры оценивания на уровне СОО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>
      <w:pPr>
        <w:numPr>
          <w:ilvl w:val="0"/>
          <w:numId w:val="2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стартовая диагностика;</w:t>
      </w:r>
    </w:p>
    <w:p>
      <w:pPr>
        <w:numPr>
          <w:ilvl w:val="0"/>
          <w:numId w:val="2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>
      <w:pPr>
        <w:numPr>
          <w:ilvl w:val="0"/>
          <w:numId w:val="26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оценка уровня функциональной грамотности;</w:t>
      </w:r>
    </w:p>
    <w:p>
      <w:pPr>
        <w:numPr>
          <w:ilvl w:val="0"/>
          <w:numId w:val="26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4.4.13. Процедура  прохождения промежуточной аттестации регламентируется положением школы. В 10-11-х классах в конце учебного года по ряду предметов проводится промежуточная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аттестация в форме ГИА 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4.4.15. Годовая отметка  в 10-11 классе по учебному предмету выставляется учителем на основе полугодовых отметок и промежуточной аттестацией.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4.4.16. Итоговая оценка (по экзаменационным предметам) выставляется в 11-х классах  на основе полугодовых и годовых отметок. 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5. Ведение документации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5.1. Общие положения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электронных журналах.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По учебным предметам, по которым в конце учебного года проводится промежуточная (переводная) аттестация в виде экзамена (в 9-х,11-х классах), выставляется итоговая оценка. 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5.2. Ведение документации учителем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рабочую программу, котор</w:t>
      </w:r>
      <w:r>
        <w:rPr>
          <w:rFonts w:cs="Times New Roman"/>
          <w:color w:val="000000"/>
          <w:sz w:val="24"/>
          <w:szCs w:val="24"/>
          <w:lang w:val="ru-ru"/>
        </w:rPr>
        <w:t>ая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5.2.2. Классный - электронный журналы является главным документам учителя и заполня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тся ежедневно в соответствии с рабочей программой.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5.3. Ведение документации обучающимися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тетрадь для выполнения классных и домашних работ. Учитель регулярно осуществляет проверку работ в данной тетради. Порядок проверки тетрадей учителем регламентируется </w:t>
      </w:r>
      <w:r>
        <w:rPr>
          <w:rFonts w:cs="Times New Roman"/>
          <w:color w:val="000000"/>
          <w:sz w:val="24"/>
          <w:szCs w:val="24"/>
          <w:lang w:val="ru-ru"/>
        </w:rPr>
        <w:t>положением школы.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5.3.3. Все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виды учебной документации </w:t>
      </w:r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r>
        <w:rPr>
          <w:rFonts w:cs="Times New Roman"/>
          <w:color w:val="000000"/>
          <w:sz w:val="24"/>
          <w:szCs w:val="24"/>
          <w:lang w:val="ru-ru"/>
        </w:rPr>
        <w:t xml:space="preserve"> регламентируются </w:t>
      </w:r>
      <w:r>
        <w:rPr>
          <w:rFonts w:cs="Times New Roman"/>
          <w:color w:val="000000"/>
          <w:sz w:val="24"/>
          <w:szCs w:val="24"/>
          <w:lang w:val="ru-ru"/>
        </w:rPr>
        <w:t>внутренними локальными актами школы.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5.4. Ведение документации администрацией Школы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6. Права и обязанности участников образовательных отношений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6.1. Права и обязанности обучающихся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6.1.1. Обучающиеся имеют право:</w:t>
      </w:r>
    </w:p>
    <w:p>
      <w:pPr>
        <w:numPr>
          <w:ilvl w:val="0"/>
          <w:numId w:val="4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>
      <w:pPr>
        <w:numPr>
          <w:ilvl w:val="0"/>
          <w:numId w:val="4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>
      <w:pPr>
        <w:numPr>
          <w:ilvl w:val="0"/>
          <w:numId w:val="4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>
      <w:pPr>
        <w:numPr>
          <w:ilvl w:val="0"/>
          <w:numId w:val="4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оценку своего творчества и инициативы во всех сферах школьной жизни, так же как и на оценку навыковой стороны обучения;</w:t>
      </w:r>
    </w:p>
    <w:p>
      <w:pPr>
        <w:numPr>
          <w:ilvl w:val="0"/>
          <w:numId w:val="4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6.1.2. Обучающиеся обязаны:</w:t>
      </w:r>
    </w:p>
    <w:p>
      <w:pPr>
        <w:numPr>
          <w:ilvl w:val="0"/>
          <w:numId w:val="34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>
      <w:pPr>
        <w:numPr>
          <w:ilvl w:val="0"/>
          <w:numId w:val="34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среднего общего образования;</w:t>
      </w:r>
      <w:r>
        <w:rPr>
          <w:rFonts w:cs="Times New Roman"/>
          <w:color w:val="000000"/>
          <w:sz w:val="24"/>
          <w:szCs w:val="24"/>
          <w:lang w:val="ru-ru"/>
        </w:rPr>
      </w:r>
    </w:p>
    <w:p>
      <w:pPr>
        <w:numPr>
          <w:ilvl w:val="0"/>
          <w:numId w:val="34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6.2. Права и обязанности учителя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6.2.1. Учитель имеет право:</w:t>
      </w:r>
    </w:p>
    <w:p>
      <w:pPr>
        <w:numPr>
          <w:ilvl w:val="0"/>
          <w:numId w:val="1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>
      <w:pPr>
        <w:numPr>
          <w:ilvl w:val="0"/>
          <w:numId w:val="1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r>
        <w:rPr>
          <w:rFonts w:cs="Times New Roman"/>
          <w:color w:val="000000"/>
          <w:sz w:val="24"/>
          <w:szCs w:val="24"/>
        </w:rPr>
        <w:t>Оценка обучающихся должна предшествовать оценке учителя;</w:t>
      </w:r>
      <w:r>
        <w:rPr>
          <w:rFonts w:cs="Times New Roman"/>
          <w:color w:val="000000"/>
          <w:sz w:val="24"/>
          <w:szCs w:val="24"/>
        </w:rPr>
      </w:r>
    </w:p>
    <w:p>
      <w:pPr>
        <w:numPr>
          <w:ilvl w:val="0"/>
          <w:numId w:val="13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>
      <w:pPr>
        <w:numPr>
          <w:ilvl w:val="0"/>
          <w:numId w:val="13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6.2.2. Учитель обязан:</w:t>
      </w:r>
    </w:p>
    <w:p>
      <w:pPr>
        <w:numPr>
          <w:ilvl w:val="0"/>
          <w:numId w:val="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соблюдать правила оценочной безопасности;</w:t>
      </w:r>
    </w:p>
    <w:p>
      <w:pPr>
        <w:numPr>
          <w:ilvl w:val="0"/>
          <w:numId w:val="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>
      <w:pPr>
        <w:numPr>
          <w:ilvl w:val="0"/>
          <w:numId w:val="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оценивать не только навыковую сторону обучения, но также творчество и инициативу во всех сферах школьной жизни с помощью способов качественного оценивания;</w:t>
      </w:r>
    </w:p>
    <w:p>
      <w:pPr>
        <w:numPr>
          <w:ilvl w:val="0"/>
          <w:numId w:val="5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</w:p>
    <w:p>
      <w:pPr>
        <w:numPr>
          <w:ilvl w:val="0"/>
          <w:numId w:val="5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6.3. Права и обязанности родителей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6.3.1. Родитель имеет право:</w:t>
      </w:r>
    </w:p>
    <w:p>
      <w:pPr>
        <w:numPr>
          <w:ilvl w:val="0"/>
          <w:numId w:val="1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>
      <w:pPr>
        <w:numPr>
          <w:ilvl w:val="0"/>
          <w:numId w:val="12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>
      <w:pPr>
        <w:numPr>
          <w:ilvl w:val="0"/>
          <w:numId w:val="12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6.3.2. Родитель обязан:</w:t>
      </w:r>
    </w:p>
    <w:p>
      <w:pPr>
        <w:numPr>
          <w:ilvl w:val="0"/>
          <w:numId w:val="3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>
      <w:pPr>
        <w:numPr>
          <w:ilvl w:val="0"/>
          <w:numId w:val="30"/>
        </w:numPr>
        <w:ind w:left="780" w:right="180" w:hanging="360"/>
        <w:spacing w:before="0" w:after="0" w:beforeAutospacing="0" w:afterAutospacing="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>
      <w:pPr>
        <w:numPr>
          <w:ilvl w:val="0"/>
          <w:numId w:val="30"/>
        </w:numPr>
        <w:ind w:left="780" w:right="180" w:hanging="360"/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>
      <w:pPr>
        <w:spacing w:before="0" w:after="0" w:beforeAutospacing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7. Ответственность сторон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>
      <w:pPr>
        <w:spacing w:before="0" w:after="0"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/>
      <w:bookmarkStart w:id="0" w:name="_GoBack"/>
      <w:bookmarkEnd w:id="0"/>
      <w:r/>
      <w:r>
        <w:rPr>
          <w:rFonts w:cs="Times New Roman"/>
          <w:color w:val="000000"/>
          <w:sz w:val="24"/>
          <w:szCs w:val="24"/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9" w:w="11907"/>
      <w:pgMar w:left="720" w:top="568" w:right="567" w:bottom="28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Symbol">
    <w:charset w:val="02"/>
    <w:family w:val="roman"/>
    <w:pitch w:val="default"/>
  </w:font>
  <w:font w:name="Times New Roman">
    <w:charset w:val="cc"/>
    <w:family w:val="roman"/>
    <w:pitch w:val="default"/>
  </w:font>
  <w:font w:name="Courier New">
    <w:charset w:val="cc"/>
    <w:family w:val="modern"/>
    <w:pitch w:val="default"/>
  </w:font>
  <w:font w:name="Wingdings">
    <w:charset w:val="02"/>
    <w:family w:val="auto"/>
    <w:pitch w:val="default"/>
  </w:font>
  <w:font w:name="Cambria">
    <w:charset w:val="cc"/>
    <w:family w:val="roman"/>
    <w:pitch w:val="default"/>
  </w:font>
  <w:font w:name="Arial"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6">
    <w:multiLevelType w:val="hybridMultilevel"/>
    <w:name w:val="Нумерованный список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8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9">
    <w:multiLevelType w:val="hybridMultilevel"/>
    <w:name w:val="Нумерованный список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0">
    <w:multiLevelType w:val="hybridMultilevel"/>
    <w:name w:val="Нумерованный список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1">
    <w:multiLevelType w:val="hybridMultilevel"/>
    <w:name w:val="Нумерованный список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2">
    <w:multiLevelType w:val="hybridMultilevel"/>
    <w:name w:val="Нумерованный список 1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3">
    <w:multiLevelType w:val="hybridMultilevel"/>
    <w:name w:val="Нумерованный список 1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4">
    <w:multiLevelType w:val="hybridMultilevel"/>
    <w:name w:val="Нумерованный список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5">
    <w:multiLevelType w:val="hybridMultilevel"/>
    <w:name w:val="Нумерованный список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6">
    <w:multiLevelType w:val="hybridMultilevel"/>
    <w:name w:val="Нумерованный список 1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7">
    <w:multiLevelType w:val="hybridMultilevel"/>
    <w:name w:val="Нумерованный список 1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8">
    <w:multiLevelType w:val="hybridMultilevel"/>
    <w:name w:val="Нумерованный список 1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9">
    <w:multiLevelType w:val="hybridMultilevel"/>
    <w:name w:val="Нумерованный список 1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0">
    <w:multiLevelType w:val="hybridMultilevel"/>
    <w:name w:val="Нумерованный список 2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1">
    <w:multiLevelType w:val="hybridMultilevel"/>
    <w:name w:val="Нумерованный список 2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2">
    <w:multiLevelType w:val="hybridMultilevel"/>
    <w:name w:val="Нумерованный список 2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3">
    <w:multiLevelType w:val="hybridMultilevel"/>
    <w:name w:val="Нумерованный список 2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4">
    <w:multiLevelType w:val="hybridMultilevel"/>
    <w:name w:val="Нумерованный список 2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5">
    <w:multiLevelType w:val="hybridMultilevel"/>
    <w:name w:val="Нумерованный список 2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6">
    <w:multiLevelType w:val="hybridMultilevel"/>
    <w:name w:val="Нумерованный список 2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7">
    <w:multiLevelType w:val="hybridMultilevel"/>
    <w:name w:val="Нумерованный список 2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8">
    <w:multiLevelType w:val="hybridMultilevel"/>
    <w:name w:val="Нумерованный список 2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29">
    <w:multiLevelType w:val="hybridMultilevel"/>
    <w:name w:val="Нумерованный список 2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0">
    <w:multiLevelType w:val="hybridMultilevel"/>
    <w:name w:val="Нумерованный список 3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1">
    <w:multiLevelType w:val="hybridMultilevel"/>
    <w:name w:val="Нумерованный список 3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2">
    <w:multiLevelType w:val="hybridMultilevel"/>
    <w:name w:val="Нумерованный список 3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3">
    <w:multiLevelType w:val="hybridMultilevel"/>
    <w:name w:val="Нумерованный список 3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4">
    <w:multiLevelType w:val="hybridMultilevel"/>
    <w:name w:val="Нумерованный список 3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5">
    <w:multiLevelType w:val="hybridMultilevel"/>
    <w:name w:val="Нумерованный список 3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6">
    <w:multiLevelType w:val="hybridMultilevel"/>
    <w:name w:val="Нумерованный список 3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7">
    <w:multiLevelType w:val="hybridMultilevel"/>
    <w:name w:val="Нумерованный список 3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8">
    <w:multiLevelType w:val="hybridMultilevel"/>
    <w:name w:val="Нумерованный список 3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9">
    <w:multiLevelType w:val="hybridMultilevel"/>
    <w:name w:val="Нумерованный список 3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0">
    <w:multiLevelType w:val="hybridMultilevel"/>
    <w:name w:val="Нумерованный список 4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1">
    <w:multiLevelType w:val="hybridMultilevel"/>
    <w:name w:val="Нумерованный список 4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42">
    <w:multiLevelType w:val="hybridMultilevel"/>
    <w:name w:val="Нумерованный список 4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10"/>
    <w:tmLastPosCaret>
      <w:tmLastPosPgfIdx w:val="0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724727605" w:val="982" w:fileVer="342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Basic Roman"/>
        <w:sz w:val="22"/>
        <w:szCs w:val="22"/>
        <w:lang w:val="en-us" w:eastAsia="zh-cn" w:bidi="ar-sa"/>
      </w:rPr>
    </w:rPrDefault>
    <w:pPrDefault>
      <w:pPr>
        <w:spacing w:before="100" w:after="100" w:beforeAutospacing="1" w:afterAutospacing="1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keepNext/>
      <w:outlineLvl w:val="0"/>
      <w:keepLines/>
    </w:pPr>
    <w:rPr>
      <w:rFonts w:ascii="Cambria" w:hAnsi="Cambria" w:eastAsia="Cambria"/>
      <w:b/>
      <w:bCs/>
      <w:color w:val="365f91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Cambria"/>
      <w:b/>
      <w:bCs/>
      <w:color w:val="365f91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Basic Roman"/>
        <w:sz w:val="22"/>
        <w:szCs w:val="22"/>
        <w:lang w:val="en-us" w:eastAsia="zh-cn" w:bidi="ar-sa"/>
      </w:rPr>
    </w:rPrDefault>
    <w:pPrDefault>
      <w:pPr>
        <w:spacing w:before="100" w:after="100" w:beforeAutospacing="1" w:afterAutospacing="1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keepNext/>
      <w:outlineLvl w:val="0"/>
      <w:keepLines/>
    </w:pPr>
    <w:rPr>
      <w:rFonts w:ascii="Cambria" w:hAnsi="Cambria" w:eastAsia="Cambria"/>
      <w:b/>
      <w:bCs/>
      <w:color w:val="365f91"/>
      <w:sz w:val="28"/>
      <w:szCs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Cambria"/>
      <w:b/>
      <w:bCs/>
      <w:color w:val="365f91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Basic Roman"/>
      </a:majorFont>
      <a:minorFont>
        <a:latin typeface="Times New Roman"/>
        <a:ea typeface="Times New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IRUin</dc:creator>
  <cp:keywords/>
  <dc:description/>
  <cp:lastModifiedBy/>
  <cp:revision>18</cp:revision>
  <dcterms:created xsi:type="dcterms:W3CDTF">2011-11-02T03:15:00Z</dcterms:created>
  <dcterms:modified xsi:type="dcterms:W3CDTF">2024-08-27T03:00:05Z</dcterms:modified>
</cp:coreProperties>
</file>